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Linings</w:t>
      </w:r>
    </w:p>
    <w:p>
      <w:r>
        <w:t>Here they are — the real protagonists of Stina's entire disease. Lining the ventral cavities and folded over the organs inside them are thin, wet serous membranes, and they have a clever two-layer design. The parietal layer lines the cavity wall; the visceral layer hugs the organ's surface like a stocking pulled tight over it. It's actually one continuous membrane folded back on itself, and trapped between the two layers is a microscopic film of fluid.</w:t>
      </w:r>
    </w:p>
    <w:p>
      <w:r>
        <w:t>That gap between the layers earns a wonderful name: the potential space. 'Potential,' because normally it's almost nothing — just enough slippery fluid to let your lungs and gut and heart glide against their neighbors without friction, the way a thin film of water lets two panes of glass slide instead of grinding. It is barely there. But hold onto that nearly-nothing space with both hands, because it is the exact spot where Stina's attacks ignite — and on the very next slide, we watch it start to fill.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