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FMF Case File</w:t>
      </w:r>
    </w:p>
    <w:p>
      <w:r>
        <w:t>And here's the payoff I promised. Buried in one of Stina's early CT scans is a single throwaway line: 'trace free fluid.' Four words. Nobody flagged it, nobody explained it, and she only found it years later reading her own chart — at which point it looked like a footnote about nothing. But you now know exactly what it was: the potential space, that barely-there gap, beginning to fill. The disease was quietly signing its name, and the signature sat on the film for anyone trained to read it.</w:t>
      </w:r>
    </w:p>
    <w:p>
      <w:r>
        <w:t>Let this land, because it's the emotional core of the whole module. The finding was never missing — it was right there, in black and white. The problem is that a faint trace of fluid, in a space that should hold almost none, is only alarming if you understand the space. Years later that same trickle would flood her abdomen and crowd her lung. The first smudge of serositis was on the record from the beginning; it just needed a reader who knew the room.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