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Where We Go Next</w:t>
      </w:r>
    </w:p>
    <w:p>
      <w:r>
        <w:t>So take inventory of what you can do now that you couldn't an hour ago. You can name the three planes and reconstruct the cut behind any slice. You can name the two great cavities and their subdivisions and give a finding an address. And you can describe the serous membranes, their parietal and visceral layers, and the potential space between them — the space where Stina's disease lives and breathes. That's a genuinely powerful toolkit, and you built it fast.</w:t>
      </w:r>
    </w:p>
    <w:p>
      <w:r>
        <w:t>But we've been circling one word without pinning it down: the membrane itself. We've met the serous linings, but they're only one of four kinds of membrane in the body, and telling them apart is the reflex the next lecture is built around — because one of those four is the true scene of Stina's '3 a.m. appendicitis.' Next time we sort all four and corner the troublemaker that's been hiding in plain sight in her chart for twenty years.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